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498F" w:rsidRDefault="00961F91">
      <w:pPr>
        <w:pStyle w:val="normal0"/>
      </w:pPr>
      <w:r>
        <w:rPr>
          <w:color w:val="8064A2"/>
        </w:rPr>
        <w:t>Proficiency-based course and graduation requirements, aligned with 21</w:t>
      </w:r>
      <w:r>
        <w:rPr>
          <w:color w:val="8064A2"/>
          <w:vertAlign w:val="superscript"/>
        </w:rPr>
        <w:t>st</w:t>
      </w:r>
      <w:r>
        <w:rPr>
          <w:color w:val="8064A2"/>
        </w:rPr>
        <w:t xml:space="preserve"> Century Learning Expectations, define what studnets should know and be able to do beginning with the Class of 2016</w:t>
      </w:r>
    </w:p>
    <w:p w:rsidR="0062498F" w:rsidRDefault="0062498F">
      <w:pPr>
        <w:pStyle w:val="normal0"/>
      </w:pPr>
    </w:p>
    <w:p w:rsidR="0062498F" w:rsidRDefault="00961F91">
      <w:pPr>
        <w:pStyle w:val="normal0"/>
      </w:pPr>
      <w:r>
        <w:rPr>
          <w:color w:val="F79646"/>
        </w:rPr>
        <w:t>Assessments and rubrics measure and chart student progress in meeting standards at proficient levels towards graduatio</w:t>
      </w:r>
      <w:commentRangeStart w:id="0"/>
      <w:r>
        <w:rPr>
          <w:color w:val="F79646"/>
        </w:rPr>
        <w:t>n</w:t>
      </w:r>
      <w:commentRangeEnd w:id="0"/>
      <w:r>
        <w:commentReference w:id="0"/>
      </w:r>
    </w:p>
    <w:p w:rsidR="0062498F" w:rsidRDefault="0062498F">
      <w:pPr>
        <w:pStyle w:val="normal0"/>
      </w:pPr>
    </w:p>
    <w:p w:rsidR="0062498F" w:rsidRDefault="00961F91">
      <w:pPr>
        <w:pStyle w:val="normal0"/>
      </w:pPr>
      <w:r>
        <w:rPr>
          <w:color w:val="1F497D"/>
        </w:rPr>
        <w:t>The increased f</w:t>
      </w:r>
      <w:r>
        <w:rPr>
          <w:color w:val="1F497D"/>
        </w:rPr>
        <w:t>lexibility of the school day and calendar facilitates a range of learning opportunities before and after school, on weekends, and during the summers – on and off campus.</w:t>
      </w:r>
    </w:p>
    <w:p w:rsidR="0062498F" w:rsidRDefault="0062498F">
      <w:pPr>
        <w:pStyle w:val="normal0"/>
      </w:pPr>
    </w:p>
    <w:p w:rsidR="0062498F" w:rsidRDefault="00961F91">
      <w:pPr>
        <w:pStyle w:val="normal0"/>
      </w:pPr>
      <w:r>
        <w:rPr>
          <w:color w:val="C0504D"/>
        </w:rPr>
        <w:t>Expanded Programs and support structures within and outside the school day and calend</w:t>
      </w:r>
      <w:r>
        <w:rPr>
          <w:color w:val="C0504D"/>
        </w:rPr>
        <w:t>ar focus on accelerating ELL and low-income learning.</w:t>
      </w:r>
    </w:p>
    <w:tbl>
      <w:tblPr>
        <w:tblW w:w="13878" w:type="dxa"/>
        <w:tblInd w:w="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891"/>
        <w:gridCol w:w="2635"/>
        <w:gridCol w:w="2635"/>
        <w:gridCol w:w="1717"/>
      </w:tblGrid>
      <w:tr w:rsidR="0062498F">
        <w:tblPrEx>
          <w:tblCellMar>
            <w:top w:w="0" w:type="dxa"/>
            <w:bottom w:w="0" w:type="dxa"/>
          </w:tblCellMar>
        </w:tblPrEx>
        <w:tc>
          <w:tcPr>
            <w:tcW w:w="6890" w:type="dxa"/>
            <w:tcMar>
              <w:left w:w="108" w:type="dxa"/>
              <w:right w:w="108" w:type="dxa"/>
            </w:tcMar>
          </w:tcPr>
          <w:p w:rsidR="0062498F" w:rsidRDefault="00961F91">
            <w:pPr>
              <w:pStyle w:val="normal0"/>
            </w:pPr>
            <w:r>
              <w:rPr>
                <w:b/>
              </w:rPr>
              <w:t xml:space="preserve">Personalized Proficiency Based Learning </w:t>
            </w: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62498F" w:rsidRDefault="00961F91">
            <w:pPr>
              <w:pStyle w:val="normal0"/>
            </w:pPr>
            <w:r>
              <w:rPr>
                <w:b/>
              </w:rPr>
              <w:t>Start Date</w:t>
            </w: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62498F" w:rsidRDefault="00961F91">
            <w:pPr>
              <w:pStyle w:val="normal0"/>
            </w:pPr>
            <w:r>
              <w:rPr>
                <w:b/>
              </w:rPr>
              <w:t>End Date</w:t>
            </w:r>
          </w:p>
        </w:tc>
        <w:tc>
          <w:tcPr>
            <w:tcW w:w="1717" w:type="dxa"/>
            <w:tcMar>
              <w:left w:w="108" w:type="dxa"/>
              <w:right w:w="108" w:type="dxa"/>
            </w:tcMar>
          </w:tcPr>
          <w:p w:rsidR="0062498F" w:rsidRDefault="00961F91">
            <w:pPr>
              <w:pStyle w:val="normal0"/>
            </w:pPr>
            <w:r>
              <w:rPr>
                <w:b/>
              </w:rPr>
              <w:t>Notes</w:t>
            </w:r>
          </w:p>
        </w:tc>
      </w:tr>
      <w:tr w:rsidR="0062498F">
        <w:tblPrEx>
          <w:tblCellMar>
            <w:top w:w="0" w:type="dxa"/>
            <w:bottom w:w="0" w:type="dxa"/>
          </w:tblCellMar>
        </w:tblPrEx>
        <w:tc>
          <w:tcPr>
            <w:tcW w:w="6890" w:type="dxa"/>
            <w:tcMar>
              <w:left w:w="108" w:type="dxa"/>
              <w:right w:w="108" w:type="dxa"/>
            </w:tcMar>
          </w:tcPr>
          <w:p w:rsidR="0062498F" w:rsidRDefault="00961F91">
            <w:pPr>
              <w:pStyle w:val="normal0"/>
              <w:tabs>
                <w:tab w:val="left" w:pos="720"/>
              </w:tabs>
              <w:ind w:right="1724"/>
            </w:pPr>
            <w:r>
              <w:rPr>
                <w:color w:val="8064A2"/>
              </w:rPr>
              <w:t>Develop action research team to conduct research on existing proficiency-based systems and:</w:t>
            </w:r>
          </w:p>
          <w:p w:rsidR="0062498F" w:rsidRDefault="00961F91">
            <w:pPr>
              <w:pStyle w:val="normal0"/>
              <w:numPr>
                <w:ilvl w:val="0"/>
                <w:numId w:val="1"/>
              </w:numPr>
              <w:tabs>
                <w:tab w:val="left" w:pos="720"/>
              </w:tabs>
              <w:ind w:right="1724" w:hanging="360"/>
            </w:pPr>
            <w:r>
              <w:rPr>
                <w:color w:val="8064A2"/>
              </w:rPr>
              <w:t>Identify common proficiency-based graduation requirements in both districts.</w:t>
            </w:r>
          </w:p>
          <w:p w:rsidR="0062498F" w:rsidRDefault="00961F91">
            <w:pPr>
              <w:pStyle w:val="normal0"/>
              <w:numPr>
                <w:ilvl w:val="0"/>
                <w:numId w:val="1"/>
              </w:numPr>
              <w:tabs>
                <w:tab w:val="left" w:pos="720"/>
              </w:tabs>
              <w:ind w:right="1724" w:hanging="360"/>
            </w:pPr>
            <w:r>
              <w:rPr>
                <w:color w:val="8064A2"/>
              </w:rPr>
              <w:t>Identify the progression of course content standards and core units of study that define mastery of graduation proficiencies, embed national common core standards, and map and ali</w:t>
            </w:r>
            <w:r>
              <w:rPr>
                <w:color w:val="8064A2"/>
              </w:rPr>
              <w:t>gn K-12 with connections to post-secondary learning expectations.</w:t>
            </w:r>
          </w:p>
          <w:p w:rsidR="0062498F" w:rsidRDefault="00961F91">
            <w:pPr>
              <w:pStyle w:val="normal0"/>
              <w:numPr>
                <w:ilvl w:val="0"/>
                <w:numId w:val="1"/>
              </w:numPr>
              <w:tabs>
                <w:tab w:val="left" w:pos="720"/>
              </w:tabs>
              <w:ind w:right="1724" w:hanging="360"/>
            </w:pPr>
            <w:r>
              <w:rPr>
                <w:color w:val="8064A2"/>
              </w:rPr>
              <w:t>Identify necessary scaffolding and continuum of supports for multiple learner groups including ELL and low SES students to reach standards and proficiencies.</w:t>
            </w:r>
          </w:p>
          <w:p w:rsidR="0062498F" w:rsidRDefault="00961F91">
            <w:pPr>
              <w:pStyle w:val="normal0"/>
              <w:numPr>
                <w:ilvl w:val="0"/>
                <w:numId w:val="1"/>
              </w:numPr>
              <w:tabs>
                <w:tab w:val="left" w:pos="720"/>
              </w:tabs>
              <w:ind w:right="1724" w:hanging="360"/>
            </w:pPr>
            <w:r>
              <w:rPr>
                <w:color w:val="8064A2"/>
              </w:rPr>
              <w:t>Create multiple opportunities fo</w:t>
            </w:r>
            <w:r>
              <w:rPr>
                <w:color w:val="8064A2"/>
              </w:rPr>
              <w:t>r communicating and gaining input from all stakeholders about standards and the proficiency system.</w:t>
            </w:r>
          </w:p>
          <w:p w:rsidR="0062498F" w:rsidRDefault="0062498F">
            <w:pPr>
              <w:pStyle w:val="normal0"/>
              <w:tabs>
                <w:tab w:val="left" w:pos="720"/>
              </w:tabs>
              <w:ind w:right="1724"/>
            </w:pPr>
          </w:p>
          <w:p w:rsidR="0062498F" w:rsidRDefault="00961F91">
            <w:pPr>
              <w:pStyle w:val="normal0"/>
              <w:tabs>
                <w:tab w:val="left" w:pos="720"/>
              </w:tabs>
              <w:ind w:right="1724"/>
            </w:pPr>
            <w:r>
              <w:rPr>
                <w:color w:val="8064A2"/>
              </w:rPr>
              <w:t>Implement proficiency-based graduation requirements at BHS/WHS beginning with incoming class of 2016</w:t>
            </w:r>
          </w:p>
          <w:p w:rsidR="0062498F" w:rsidRDefault="0062498F">
            <w:pPr>
              <w:pStyle w:val="normal0"/>
              <w:ind w:right="1724"/>
            </w:pPr>
          </w:p>
          <w:p w:rsidR="0062498F" w:rsidRDefault="0062498F">
            <w:pPr>
              <w:pStyle w:val="normal0"/>
              <w:ind w:right="1724"/>
            </w:pPr>
          </w:p>
          <w:p w:rsidR="0062498F" w:rsidRDefault="00961F91">
            <w:pPr>
              <w:pStyle w:val="normal0"/>
              <w:ind w:right="1724"/>
            </w:pPr>
            <w:r>
              <w:rPr>
                <w:color w:val="F79646"/>
              </w:rPr>
              <w:t xml:space="preserve">Create a system of assessments and rubrics through which students demonstrate proficiency of newly identified graduation requirements </w:t>
            </w:r>
          </w:p>
          <w:p w:rsidR="0062498F" w:rsidRDefault="0062498F">
            <w:pPr>
              <w:pStyle w:val="normal0"/>
              <w:ind w:right="1724"/>
            </w:pPr>
          </w:p>
          <w:p w:rsidR="0062498F" w:rsidRDefault="00961F91">
            <w:pPr>
              <w:pStyle w:val="normal0"/>
              <w:ind w:right="1724"/>
            </w:pPr>
            <w:r>
              <w:rPr>
                <w:color w:val="F79646"/>
              </w:rPr>
              <w:t>Embed assessments and a process for tracking mastery of proficiencies into PLPs with all students beginning with the cla</w:t>
            </w:r>
            <w:r>
              <w:rPr>
                <w:color w:val="F79646"/>
              </w:rPr>
              <w:t>ss of 2016</w:t>
            </w:r>
          </w:p>
          <w:p w:rsidR="0062498F" w:rsidRDefault="0062498F">
            <w:pPr>
              <w:pStyle w:val="normal0"/>
              <w:ind w:right="1724"/>
            </w:pPr>
          </w:p>
          <w:p w:rsidR="0062498F" w:rsidRDefault="00961F91">
            <w:pPr>
              <w:pStyle w:val="normal0"/>
              <w:ind w:right="1724"/>
            </w:pPr>
            <w:r>
              <w:rPr>
                <w:color w:val="F79646"/>
              </w:rPr>
              <w:t xml:space="preserve">Research proficiency-based grading, reporting, and transcripts to include input and feedback from college admissions counselors from UVM, Dartmouth, Castleton </w:t>
            </w:r>
          </w:p>
          <w:p w:rsidR="0062498F" w:rsidRDefault="0062498F">
            <w:pPr>
              <w:pStyle w:val="normal0"/>
              <w:ind w:right="1724"/>
            </w:pPr>
          </w:p>
          <w:p w:rsidR="0062498F" w:rsidRDefault="00961F91">
            <w:pPr>
              <w:pStyle w:val="normal0"/>
              <w:ind w:right="1724"/>
            </w:pPr>
            <w:r>
              <w:rPr>
                <w:color w:val="F79646"/>
              </w:rPr>
              <w:t>Implement new grading, reporting and transcription system with Class of 2016</w:t>
            </w:r>
          </w:p>
          <w:p w:rsidR="0062498F" w:rsidRDefault="0062498F">
            <w:pPr>
              <w:pStyle w:val="normal0"/>
              <w:ind w:right="1724"/>
            </w:pPr>
          </w:p>
          <w:p w:rsidR="0062498F" w:rsidRDefault="00961F91">
            <w:pPr>
              <w:pStyle w:val="normal0"/>
              <w:ind w:right="1724"/>
            </w:pPr>
            <w:r>
              <w:rPr>
                <w:color w:val="F79646"/>
              </w:rPr>
              <w:t>Inves</w:t>
            </w:r>
            <w:r>
              <w:rPr>
                <w:color w:val="F79646"/>
              </w:rPr>
              <w:t>tigate and implement an integrated LMS to monitor proficiency-based learning, PLPs, mandated performance data, and school/state required data collection; include student-centered learning measures such as community-based learning and post secondary success</w:t>
            </w:r>
            <w:r>
              <w:rPr>
                <w:color w:val="F79646"/>
              </w:rPr>
              <w:t xml:space="preserve">. </w:t>
            </w:r>
          </w:p>
          <w:p w:rsidR="0062498F" w:rsidRDefault="0062498F">
            <w:pPr>
              <w:pStyle w:val="normal0"/>
              <w:ind w:right="1724"/>
            </w:pPr>
          </w:p>
          <w:p w:rsidR="0062498F" w:rsidRDefault="0062498F">
            <w:pPr>
              <w:pStyle w:val="normal0"/>
              <w:ind w:right="1724"/>
            </w:pP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62498F" w:rsidRDefault="00961F91">
            <w:pPr>
              <w:pStyle w:val="normal0"/>
            </w:pPr>
            <w:r>
              <w:t>Jul 2012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Aug 2013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Jul 2013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Aug 2013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Jul 2013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Aug 2014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Aug 2013</w:t>
            </w: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62498F" w:rsidRDefault="00961F91">
            <w:pPr>
              <w:pStyle w:val="normal0"/>
            </w:pPr>
            <w:r>
              <w:t>Jun 2013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Jun 2016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Jun 2016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Aug 2015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Aug 2014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Aug 2016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Ongoing</w:t>
            </w:r>
          </w:p>
        </w:tc>
        <w:tc>
          <w:tcPr>
            <w:tcW w:w="1717" w:type="dxa"/>
            <w:tcMar>
              <w:left w:w="108" w:type="dxa"/>
              <w:right w:w="108" w:type="dxa"/>
            </w:tcMar>
          </w:tcPr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I think this refers to the actual class of 2021. Is that correct?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See above note – how does this all work out?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Edu2.0?</w:t>
            </w:r>
          </w:p>
        </w:tc>
      </w:tr>
      <w:tr w:rsidR="0062498F">
        <w:tblPrEx>
          <w:tblCellMar>
            <w:top w:w="0" w:type="dxa"/>
            <w:bottom w:w="0" w:type="dxa"/>
          </w:tblCellMar>
        </w:tblPrEx>
        <w:tc>
          <w:tcPr>
            <w:tcW w:w="6890" w:type="dxa"/>
            <w:tcMar>
              <w:left w:w="108" w:type="dxa"/>
              <w:right w:w="108" w:type="dxa"/>
            </w:tcMar>
          </w:tcPr>
          <w:p w:rsidR="0062498F" w:rsidRDefault="00961F91">
            <w:pPr>
              <w:pStyle w:val="normal0"/>
              <w:ind w:right="1724"/>
            </w:pPr>
            <w:r>
              <w:rPr>
                <w:color w:val="1F497D"/>
              </w:rPr>
              <w:t>Provide on-line learning opportunities beyond the school day with appropriate supports to ensure student success. Provide 2 teacher courses (BHS) and 1 course (WHS) to the Vermont Virtual Learning Network in exchange for 75 slots.</w:t>
            </w: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rPr>
                <w:color w:val="1F497D"/>
              </w:rPr>
              <w:t>Identify barriers and op</w:t>
            </w:r>
            <w:r>
              <w:rPr>
                <w:color w:val="1F497D"/>
              </w:rPr>
              <w:t>portunities for extending instructional time after school, during the weekends, and summers. Review and work collaboratively to address contractual issues for teachers preventing flexible voluntary assignment of teaching time.</w:t>
            </w: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rPr>
                <w:color w:val="1F497D"/>
              </w:rPr>
              <w:t>Begin offering instruction b</w:t>
            </w:r>
            <w:r>
              <w:rPr>
                <w:color w:val="1F497D"/>
              </w:rPr>
              <w:t>y interested teachers at non-traditional times aligned with student interest. Projections include 8 teachers (BHS) and 2 Teachers (WHS) for 200 students</w:t>
            </w: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rPr>
                <w:color w:val="C0504D"/>
              </w:rPr>
              <w:t>Review all existing BHS/WHS programs and support structures for closing instructional gaps and accelerating ELL and other student learning; research additional models.</w:t>
            </w: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rPr>
                <w:color w:val="C0504D"/>
              </w:rPr>
              <w:t>Pilot a new joint BHS/WHS model for summer instruction based on the emerging review and research that expands time for learning both on and off campus for approximately 75 students</w:t>
            </w: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rPr>
                <w:color w:val="C0504D"/>
              </w:rPr>
              <w:t>Pilot additional instructional support programs based on the emerging revi</w:t>
            </w:r>
            <w:r>
              <w:rPr>
                <w:color w:val="C0504D"/>
              </w:rPr>
              <w:t>ew of research that provides options for acceleration for students during the school year in school for approximately 150 students.</w:t>
            </w: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rPr>
                <w:color w:val="C0504D"/>
              </w:rPr>
              <w:t>Pilot additional instructional support programs based on the review and research that provides options for acceleration for</w:t>
            </w:r>
            <w:r>
              <w:rPr>
                <w:color w:val="C0504D"/>
              </w:rPr>
              <w:t xml:space="preserve"> students during the school year in community settings and in partnership with community organizations for about 60 students</w:t>
            </w: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rPr>
                <w:color w:val="C0504D"/>
              </w:rPr>
              <w:t>Review, refine, enhance, and expand dual enrollment options in area colleges and universities to increase options for college-read</w:t>
            </w:r>
            <w:r>
              <w:rPr>
                <w:color w:val="C0504D"/>
              </w:rPr>
              <w:t>y learning for about 100 students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62498F" w:rsidRDefault="00961F91">
            <w:pPr>
              <w:pStyle w:val="normal0"/>
            </w:pPr>
            <w:r>
              <w:t>Aug 2012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Jan 2013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Aug 2015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Jan 2012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Jun 2012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Sep 2012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Sep 2012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Sep 2013</w:t>
            </w: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62498F" w:rsidRDefault="00961F91">
            <w:pPr>
              <w:pStyle w:val="normal0"/>
            </w:pPr>
            <w:r>
              <w:t>Jun 2014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Jun 2015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Dec 2017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Dec 2012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Aug 2012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Jun 2013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Jun 2013</w:t>
            </w: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Jun 2013</w:t>
            </w:r>
          </w:p>
        </w:tc>
        <w:tc>
          <w:tcPr>
            <w:tcW w:w="1717" w:type="dxa"/>
            <w:tcMar>
              <w:left w:w="108" w:type="dxa"/>
              <w:right w:w="108" w:type="dxa"/>
            </w:tcMar>
          </w:tcPr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62498F">
            <w:pPr>
              <w:pStyle w:val="normal0"/>
            </w:pPr>
          </w:p>
          <w:p w:rsidR="0062498F" w:rsidRDefault="00961F91">
            <w:pPr>
              <w:pStyle w:val="normal0"/>
            </w:pPr>
            <w:r>
              <w:t>Do these all fall under the category of “emerging research” that needs to happen?</w:t>
            </w:r>
          </w:p>
        </w:tc>
      </w:tr>
    </w:tbl>
    <w:p w:rsidR="0062498F" w:rsidRDefault="0062498F">
      <w:pPr>
        <w:pStyle w:val="normal0"/>
      </w:pPr>
    </w:p>
    <w:p w:rsidR="0062498F" w:rsidRDefault="0062498F">
      <w:pPr>
        <w:pStyle w:val="normal0"/>
      </w:pPr>
    </w:p>
    <w:sectPr w:rsidR="0062498F" w:rsidSect="0062498F">
      <w:pgSz w:w="15840" w:h="12240"/>
      <w:pgMar w:top="1800" w:right="1440" w:bottom="1800" w:left="1440" w:gutter="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" w:initials="">
    <w:p w:rsidR="0062498F" w:rsidRDefault="00961F91">
      <w:pPr>
        <w:pStyle w:val="normal0"/>
      </w:pPr>
      <w:r>
        <w:rPr>
          <w:rFonts w:ascii="Arial" w:eastAsia="Arial" w:hAnsi="Arial" w:cs="Arial"/>
          <w:sz w:val="22"/>
        </w:rPr>
        <w:t xml:space="preserve">Where are the PLPs addressed? </w:t>
      </w:r>
    </w:p>
    <w:p w:rsidR="0062498F" w:rsidRDefault="00961F91">
      <w:pPr>
        <w:pStyle w:val="normal0"/>
      </w:pPr>
      <w:r>
        <w:rPr>
          <w:rFonts w:ascii="Arial" w:eastAsia="Arial" w:hAnsi="Arial" w:cs="Arial"/>
          <w:sz w:val="22"/>
        </w:rPr>
        <w:t>Peter McConville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513E8"/>
    <w:multiLevelType w:val="multilevel"/>
    <w:tmpl w:val="EBC68D3A"/>
    <w:lvl w:ilvl="0">
      <w:start w:val="1"/>
      <w:numFmt w:val="bullet"/>
      <w:lvlText w:val="●"/>
      <w:lvlJc w:val="left"/>
      <w:pPr>
        <w:ind w:left="7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displayBackgroundShape/>
  <w:doNotTrackMoves/>
  <w:defaultTabStop w:val="720"/>
  <w:characterSpacingControl w:val="doNotCompress"/>
  <w:compat>
    <w:useFELayout/>
  </w:compat>
  <w:rsids>
    <w:rsidRoot w:val="0062498F"/>
    <w:rsid w:val="0062498F"/>
    <w:rsid w:val="00961F9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62498F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0"/>
    <w:next w:val="normal0"/>
    <w:rsid w:val="0062498F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Heading3">
    <w:name w:val="heading 3"/>
    <w:basedOn w:val="normal0"/>
    <w:next w:val="normal0"/>
    <w:rsid w:val="0062498F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Heading4">
    <w:name w:val="heading 4"/>
    <w:basedOn w:val="normal0"/>
    <w:next w:val="normal0"/>
    <w:rsid w:val="0062498F"/>
    <w:pPr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0"/>
    <w:next w:val="normal0"/>
    <w:rsid w:val="0062498F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0"/>
    <w:next w:val="normal0"/>
    <w:rsid w:val="0062498F"/>
    <w:pPr>
      <w:spacing w:before="240" w:after="60"/>
      <w:outlineLvl w:val="5"/>
    </w:pPr>
    <w:rPr>
      <w:b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62498F"/>
    <w:rPr>
      <w:rFonts w:ascii="Cambria" w:eastAsia="Cambria" w:hAnsi="Cambria" w:cs="Cambria"/>
      <w:color w:val="000000"/>
    </w:rPr>
  </w:style>
  <w:style w:type="paragraph" w:styleId="Title">
    <w:name w:val="Title"/>
    <w:basedOn w:val="normal0"/>
    <w:next w:val="normal0"/>
    <w:rsid w:val="0062498F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Subtitle">
    <w:name w:val="Subtitle"/>
    <w:basedOn w:val="normal0"/>
    <w:next w:val="normal0"/>
    <w:rsid w:val="0062498F"/>
    <w:pPr>
      <w:spacing w:after="60"/>
      <w:jc w:val="center"/>
    </w:pPr>
    <w:rPr>
      <w:rFonts w:ascii="Arial" w:eastAsia="Arial" w:hAnsi="Arial" w:cs="Aria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9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98F"/>
  </w:style>
  <w:style w:type="character" w:styleId="CommentReference">
    <w:name w:val="annotation reference"/>
    <w:basedOn w:val="DefaultParagraphFont"/>
    <w:uiPriority w:val="99"/>
    <w:semiHidden/>
    <w:unhideWhenUsed/>
    <w:rsid w:val="0062498F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F9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F91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663</Words>
  <Characters>3781</Characters>
  <Application>Microsoft Macintosh Word</Application>
  <DocSecurity>0</DocSecurity>
  <Lines>31</Lines>
  <Paragraphs>7</Paragraphs>
  <ScaleCrop>false</ScaleCrop>
  <Company>UVM</Company>
  <LinksUpToDate>false</LinksUpToDate>
  <CharactersWithSpaces>4643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Personalized, Proficiency Based Learning.docx.docx</dc:title>
  <cp:lastModifiedBy>Alan Tinkler</cp:lastModifiedBy>
  <cp:revision>2</cp:revision>
  <dcterms:created xsi:type="dcterms:W3CDTF">2012-12-08T12:55:00Z</dcterms:created>
  <dcterms:modified xsi:type="dcterms:W3CDTF">2012-12-08T12:55:00Z</dcterms:modified>
</cp:coreProperties>
</file>